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Spec="center"/>
        <w:tblW w:w="8352" w:type="dxa"/>
        <w:tblCellMar>
          <w:left w:w="0" w:type="dxa"/>
          <w:right w:w="0" w:type="dxa"/>
        </w:tblCellMar>
        <w:tblLook w:val="04A0" w:firstRow="1" w:lastRow="0" w:firstColumn="1" w:lastColumn="0" w:noHBand="0" w:noVBand="1"/>
      </w:tblPr>
      <w:tblGrid>
        <w:gridCol w:w="3132"/>
        <w:gridCol w:w="5220"/>
      </w:tblGrid>
      <w:tr w:rsidR="003C136C" w:rsidRPr="003C136C" w:rsidTr="003C136C">
        <w:trPr>
          <w:trHeight w:val="2157"/>
        </w:trPr>
        <w:tc>
          <w:tcPr>
            <w:tcW w:w="3132"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3C136C" w:rsidRPr="003C136C" w:rsidRDefault="003C136C" w:rsidP="003C136C">
            <w:pPr>
              <w:spacing w:after="0" w:line="166"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522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УТВЕРЖДАЮ</w:t>
            </w:r>
          </w:p>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 </w:t>
            </w:r>
          </w:p>
          <w:p w:rsidR="003C136C" w:rsidRPr="003C136C" w:rsidRDefault="003C136C" w:rsidP="003C136C">
            <w:pPr>
              <w:spacing w:after="0" w:line="240" w:lineRule="auto"/>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Уполномоченный по противодействию коррупции в Ульяновской области</w:t>
            </w:r>
          </w:p>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 </w:t>
            </w:r>
          </w:p>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________________</w:t>
            </w:r>
            <w:proofErr w:type="spellStart"/>
            <w:r w:rsidRPr="003C136C">
              <w:rPr>
                <w:rFonts w:ascii="Arial" w:eastAsia="Times New Roman" w:hAnsi="Arial" w:cs="Arial"/>
                <w:b/>
                <w:bCs/>
                <w:color w:val="000000"/>
                <w:sz w:val="18"/>
                <w:szCs w:val="18"/>
                <w:lang w:eastAsia="ru-RU"/>
              </w:rPr>
              <w:t>А.Е.Яшин</w:t>
            </w:r>
            <w:proofErr w:type="spellEnd"/>
          </w:p>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2"/>
                <w:szCs w:val="12"/>
                <w:lang w:eastAsia="ru-RU"/>
              </w:rPr>
              <w:t> </w:t>
            </w:r>
          </w:p>
          <w:p w:rsidR="003C136C" w:rsidRPr="003C136C" w:rsidRDefault="003C136C" w:rsidP="003C136C">
            <w:pPr>
              <w:spacing w:after="0" w:line="166" w:lineRule="atLeast"/>
              <w:ind w:left="147"/>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_________________ 2016 года</w:t>
            </w:r>
          </w:p>
        </w:tc>
      </w:tr>
    </w:tbl>
    <w:p w:rsidR="003C136C" w:rsidRPr="003C136C" w:rsidRDefault="003C136C" w:rsidP="003C136C">
      <w:pPr>
        <w:shd w:val="clear" w:color="auto" w:fill="FFFFFF"/>
        <w:spacing w:after="0" w:line="193" w:lineRule="atLeast"/>
        <w:ind w:left="6612"/>
        <w:rPr>
          <w:rFonts w:ascii="Arial" w:eastAsia="Times New Roman" w:hAnsi="Arial" w:cs="Arial"/>
          <w:color w:val="000000"/>
          <w:sz w:val="18"/>
          <w:szCs w:val="18"/>
          <w:lang w:eastAsia="ru-RU"/>
        </w:rPr>
      </w:pPr>
      <w:r w:rsidRPr="003C136C">
        <w:rPr>
          <w:rFonts w:ascii="Arial" w:eastAsia="Times New Roman" w:hAnsi="Arial" w:cs="Arial"/>
          <w:color w:val="000000"/>
          <w:sz w:val="24"/>
          <w:szCs w:val="24"/>
          <w:lang w:eastAsia="ru-RU"/>
        </w:rPr>
        <w:t> </w:t>
      </w:r>
    </w:p>
    <w:p w:rsidR="003C136C" w:rsidRPr="003C136C" w:rsidRDefault="003C136C" w:rsidP="003C136C">
      <w:pPr>
        <w:shd w:val="clear" w:color="auto" w:fill="FFFFFF"/>
        <w:spacing w:after="0" w:line="240" w:lineRule="auto"/>
        <w:rPr>
          <w:rFonts w:ascii="Arial" w:eastAsia="Times New Roman" w:hAnsi="Arial" w:cs="Arial"/>
          <w:color w:val="000000"/>
          <w:sz w:val="18"/>
          <w:szCs w:val="18"/>
          <w:lang w:eastAsia="ru-RU"/>
        </w:rPr>
      </w:pPr>
    </w:p>
    <w:p w:rsidR="003C136C" w:rsidRPr="003C136C" w:rsidRDefault="003C136C" w:rsidP="003C136C">
      <w:pPr>
        <w:shd w:val="clear" w:color="auto" w:fill="FFFFFF"/>
        <w:spacing w:after="12" w:line="240" w:lineRule="auto"/>
        <w:ind w:left="17" w:right="8" w:hanging="10"/>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МЕТОДИКА</w:t>
      </w:r>
    </w:p>
    <w:p w:rsidR="003C136C" w:rsidRPr="003C136C" w:rsidRDefault="003C136C" w:rsidP="003C136C">
      <w:pPr>
        <w:shd w:val="clear" w:color="auto" w:fill="FFFFFF"/>
        <w:spacing w:after="12" w:line="240" w:lineRule="auto"/>
        <w:ind w:left="17" w:right="13" w:hanging="10"/>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формирования базы данных зон повышенного коррупционного риска</w:t>
      </w:r>
    </w:p>
    <w:p w:rsidR="003C136C" w:rsidRPr="003C136C" w:rsidRDefault="003C136C" w:rsidP="003C136C">
      <w:pPr>
        <w:shd w:val="clear" w:color="auto" w:fill="FFFFFF"/>
        <w:spacing w:after="310" w:line="240" w:lineRule="auto"/>
        <w:ind w:left="579" w:right="577" w:hanging="10"/>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1.</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 xml:space="preserve">Настоящая Методика разработана в целях установления процедуры выявления и устранения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w:t>
      </w:r>
      <w:proofErr w:type="gramStart"/>
      <w:r w:rsidRPr="003C136C">
        <w:rPr>
          <w:rFonts w:ascii="Arial" w:eastAsia="Times New Roman" w:hAnsi="Arial" w:cs="Arial"/>
          <w:color w:val="000000"/>
          <w:sz w:val="18"/>
          <w:szCs w:val="18"/>
          <w:lang w:eastAsia="ru-RU"/>
        </w:rPr>
        <w:t>области  и</w:t>
      </w:r>
      <w:proofErr w:type="gramEnd"/>
      <w:r w:rsidRPr="003C136C">
        <w:rPr>
          <w:rFonts w:ascii="Arial" w:eastAsia="Times New Roman" w:hAnsi="Arial" w:cs="Arial"/>
          <w:color w:val="000000"/>
          <w:sz w:val="18"/>
          <w:szCs w:val="18"/>
          <w:lang w:eastAsia="ru-RU"/>
        </w:rPr>
        <w:t xml:space="preserve"> подведомственных им учреждений и организаций (далее – зоны повышенного коррупционного риска).</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2.</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Для настоящей Методики под зоной повышенного коррупционного риска понимается намеренно или ненамеренно созданная ситуация, при которой имеется высокая вероятность проявления коррупции либо уже выявлены факты проявления коррупции при реализации полномочий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в деятельности подведомственных им учреждений и организаций.</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3.</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Руководители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уведомляют лиц, замещающих должности государственной гражданской  и муниципальной службы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а также лиц, замещающих должности, не являющиеся должностями государственной гражданской службы Ульяновской области, руководителей подведомственных учреждений и организаций, о сборе предложений по выявлению зон повышенного коррупционного риска в деятельности органов и организаций, указанных в пункте 1 настоящей Методики, а также их должностных лиц. Предложения могут основываться как на анализе ситуации, при которой возможно возникновение условий для проявления коррупции, так и на имеющейся информации об установленных фактах проявления коррупции.</w:t>
      </w:r>
    </w:p>
    <w:p w:rsidR="003C136C" w:rsidRPr="003C136C" w:rsidRDefault="003C136C" w:rsidP="003C136C">
      <w:pPr>
        <w:shd w:val="clear" w:color="auto" w:fill="FFFFFF"/>
        <w:spacing w:after="71"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4.</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 xml:space="preserve">Для организации сбора предложений руководитель исполнительного органа государственной власти Ульяновской области и органа местного самоуправления муниципального образования Ульяновской области определяет ответственное должностное лицо, которым, в частности, может быть лицо, назначенное ответственным за </w:t>
      </w:r>
      <w:proofErr w:type="gramStart"/>
      <w:r w:rsidRPr="003C136C">
        <w:rPr>
          <w:rFonts w:ascii="Arial" w:eastAsia="Times New Roman" w:hAnsi="Arial" w:cs="Arial"/>
          <w:color w:val="000000"/>
          <w:sz w:val="18"/>
          <w:szCs w:val="18"/>
          <w:lang w:eastAsia="ru-RU"/>
        </w:rPr>
        <w:t>организацию  антикоррупционной</w:t>
      </w:r>
      <w:proofErr w:type="gramEnd"/>
      <w:r w:rsidRPr="003C136C">
        <w:rPr>
          <w:rFonts w:ascii="Arial" w:eastAsia="Times New Roman" w:hAnsi="Arial" w:cs="Arial"/>
          <w:color w:val="000000"/>
          <w:sz w:val="18"/>
          <w:szCs w:val="18"/>
          <w:lang w:eastAsia="ru-RU"/>
        </w:rPr>
        <w:t xml:space="preserve"> деятельности в исполнительном органе государственной власти Ульяновской области и органе местного самоуправления муниципального образования Ульяновской области.</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5.</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Сбор предложений осуществляется путём направления информации лицу, определённому ответственным за сбор предложений о зонах повышенного коррупционного риска. Допускается организация подачи предложений в анонимной форме, например, путём размещения «ящика доверия» для сбора сообщений граждан и организаций по фактам коррупции в здании, где расположен исполнительный орган государственной власти Ульяновской области и орган местного самоуправления муниципального образования Ульяновской области, а также размещение предложений о сборе предложений на официальном сайте исполнительного органа государственной власти Ульяновской области и органа местного самоуправления муниципального образования Ульяновской области или в ходе встреч с представителями общественности, гражданами и экспертами.</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6.</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К числу наиболее часто возникающих зон повышенного коррупционного риска следует относить:</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lastRenderedPageBreak/>
        <w:t>         а) финансово-хозяйственную деятельность автономных учреждений, получающих бюджетные средства из областного бюджета Ульяновской области в виде субсидий и не имеющих законодательно установленного обязательства расходования полученных бюджетных средств с использованием конкурсных процедур, в связи с чем возможно использование служебного положения руководителями этих организаций путём заключения контрактов на выполнение работ или оказание услуг с заинтересованными лицами по завышенной стоимости;</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б) проведение оценки движимого и недвижимого имущества Ульяновской области для последующей продажи (приобретения), в ходе которой возможно занижение (завышение) его стоимости;</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в) передача автономным некоммерческим организациям, учреждённым исполнительными органами государственной власти, имущества Ульяновской области в собственность этих организаций, поскольку учредители автономной некоммерческой организации не сохраняют прав на имущество, переданное ими в собственность этих организаций;</w:t>
      </w:r>
    </w:p>
    <w:p w:rsidR="003C136C" w:rsidRPr="003C136C" w:rsidRDefault="003C136C" w:rsidP="003C136C">
      <w:pPr>
        <w:shd w:val="clear" w:color="auto" w:fill="FFFFFF"/>
        <w:spacing w:after="0" w:line="193" w:lineRule="atLeast"/>
        <w:ind w:righ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г) формирование технического задания при размещении заказов на поставки товаров, выполнение работ, оказание услуг для государственных нужд, в ходе которого, во-первых, необоснованно в один лот могут быть объединены различные виды работ и услуг, выполнить которые по факту окажется единственный поставщик, как правило, крупная компания, который вместе с аффилированной организацией будет способен принять участие в торгах, во-вторых, при необоснованном объединении одних виды работ (услуг) в единый крупный лот;</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д) отсутствие или некачественный контроль за исполнением государственных и муниципальных контрактов, заключённых в ходе размещения заказов на поставки товаров, выполнение работ, оказание услуг для государственных нужд;</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е) планирование работ на выполнение научно-исследовательских и опытно-конструкторских работ, иных творческих работ, стоимость выполнения которых может быть необоснованно завышена;</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ж) планирование мероприятий в рамках ведомственных целевых программ и областных целевых программ без расчёта стоимости реализации данных мероприятий, в связи с чем их стоимость может быть завышенной;</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з) отсутствие или недостаточный контроль за эффективным использованием бюджетных средств из бюджетов всех уровней, земли и имущества Ульяновской области;</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и) обоснование стоимости планируемых мероприятий путём предоставления котировочных заявок от аффилированных организаций;</w:t>
      </w:r>
    </w:p>
    <w:p w:rsidR="003C136C" w:rsidRPr="003C136C" w:rsidRDefault="003C136C" w:rsidP="003C136C">
      <w:pPr>
        <w:shd w:val="clear" w:color="auto" w:fill="FFFFFF"/>
        <w:spacing w:after="0" w:line="178" w:lineRule="atLeast"/>
        <w:ind w:firstLine="708"/>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к) планирование расходов на выполнение строительно-монтажных работ и работ по проведению ремонта без какой-либо экспертизы их сметной стоимости, если таковая экспертиза законодательно не установлена в качестве обязательной;</w:t>
      </w:r>
    </w:p>
    <w:p w:rsidR="003C136C" w:rsidRPr="003C136C" w:rsidRDefault="003C136C" w:rsidP="003C136C">
      <w:pPr>
        <w:shd w:val="clear" w:color="auto" w:fill="FFFFFF"/>
        <w:spacing w:after="0" w:line="178" w:lineRule="atLeast"/>
        <w:ind w:firstLine="708"/>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л) возможность использования имущества Ульяновской области или муниципальных образований Ульяновской области, находящегося в хозяйственном ведении или оперативном управлении учреждений или унитарных предприятий, в личных интересах должностных лиц исполнительного органа государственной власти;</w:t>
      </w:r>
    </w:p>
    <w:p w:rsidR="003C136C" w:rsidRPr="003C136C" w:rsidRDefault="003C136C" w:rsidP="003C136C">
      <w:pPr>
        <w:shd w:val="clear" w:color="auto" w:fill="FFFFFF"/>
        <w:spacing w:after="0" w:line="178" w:lineRule="atLeast"/>
        <w:ind w:firstLine="708"/>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м) сокрытие должностными лицами недостатков, выявленных при проведении ими проверок, ревизий, иных контрольных мероприятий;</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н) отсутствие в штатной структуре исполнительного органа государственной власти Ульяновской области лиц, в обязанности которых входит организация и осуществление ведомственного финансового контроля.</w:t>
      </w:r>
    </w:p>
    <w:p w:rsidR="003C136C" w:rsidRPr="003C136C" w:rsidRDefault="003C136C" w:rsidP="003C136C">
      <w:pPr>
        <w:shd w:val="clear" w:color="auto" w:fill="FFFFFF"/>
        <w:spacing w:after="0" w:line="240" w:lineRule="auto"/>
        <w:ind w:left="-15"/>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В деятельности органов и организаций, указанных в пункте 1 настоящей Методики, могут быть выявлены и иные зоны повышенного коррупционного риска.</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7.</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Поступившие предложения рассматриваются в исполнительном органе государственной власти Ульяновской области ежемесячно, с личным участием руководителя этого органа, руководителя и членов рабочей группы, (общественного совета, комиссии) по противодействию коррупции, лица, ответственного за организацию антикоррупционной деятельности, руководителей юридической, кадровой служб и отдела ведомственного финансового контроля (для исполнительных органов государственной власти Ульяновской области, наделённых полномочиями главного распорядителя бюджетных средств областного бюджета Ульяновской области), а при отсутствии таковых служб и отдела – с участием лиц, на которые возложены обязанности кадрового и юридического сопровождения деятельности исполнительного органа государственной власти Ульяновской области, и обязанности по проведению ведомственного финансового контроля.</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8.</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В органах местного самоуправления муниципальных образований Ульяновской области, поступившие предложения рекомендуется рассматривать, с личным участием главы администрации муниципального образования, руководителя и членов общественного совета по профилактике (противодействию) коррупции, лица, ответственного за организацию антикоррупционной деятельности, руководителей юридической, кадровой служб, руководителей органов внешнего и внутреннего финансового контроля.</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9.</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В ходе рассмотрения поступивших предложений лицами, перечисленными в пунктах 7 и 8 настоящей Методики, даётся оценка условий, при которых проявления коррупции наиболее вероятны, а также определяется список лиц, в отношении которых велика вероятность возникновения ситуации конфликта интересов. При этом рассматриваются меры по ликвидации выявленной зоны повышенного коррупционного риска, принятие которых входит в компетенцию исполнительного органа государственной власти, органа местного самоуправления, а также меры, принятие которых находится в компетенции других органов и организаций.</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10.</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Учёт результатов рассмотрения предложений о выявленной зоне повышенного коррупционного риска должны заносится в таблицу по форме, прилагаемой к настоящей Методике.</w:t>
      </w:r>
    </w:p>
    <w:p w:rsidR="003C136C" w:rsidRPr="003C136C" w:rsidRDefault="003C136C" w:rsidP="003C136C">
      <w:pPr>
        <w:shd w:val="clear" w:color="auto" w:fill="FFFFFF"/>
        <w:spacing w:after="0"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lastRenderedPageBreak/>
        <w:t>11.</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 xml:space="preserve">По итогам рассмотрения зоны повышенного коррупционного риска в течение 30 дней, ведомственная и </w:t>
      </w:r>
      <w:proofErr w:type="gramStart"/>
      <w:r w:rsidRPr="003C136C">
        <w:rPr>
          <w:rFonts w:ascii="Arial" w:eastAsia="Times New Roman" w:hAnsi="Arial" w:cs="Arial"/>
          <w:color w:val="000000"/>
          <w:sz w:val="18"/>
          <w:szCs w:val="18"/>
          <w:lang w:eastAsia="ru-RU"/>
        </w:rPr>
        <w:t>муниципальная  программа</w:t>
      </w:r>
      <w:proofErr w:type="gramEnd"/>
      <w:r w:rsidRPr="003C136C">
        <w:rPr>
          <w:rFonts w:ascii="Arial" w:eastAsia="Times New Roman" w:hAnsi="Arial" w:cs="Arial"/>
          <w:color w:val="000000"/>
          <w:sz w:val="18"/>
          <w:szCs w:val="18"/>
          <w:lang w:eastAsia="ru-RU"/>
        </w:rPr>
        <w:t xml:space="preserve"> исполнительного органа государственной власти Ульяновской области в установленном порядке дополняется мероприятием, устраняющим условия для возникновения выявленной зоны повышенного коррупционного риска и иными профилактическими мероприятиями.</w:t>
      </w:r>
    </w:p>
    <w:p w:rsidR="003C136C" w:rsidRPr="003C136C" w:rsidRDefault="003C136C" w:rsidP="003C136C">
      <w:pPr>
        <w:shd w:val="clear" w:color="auto" w:fill="FFFFFF"/>
        <w:spacing w:after="632" w:line="240" w:lineRule="auto"/>
        <w:jc w:val="both"/>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12.</w:t>
      </w:r>
      <w:r w:rsidRPr="003C136C">
        <w:rPr>
          <w:rFonts w:ascii="Times New Roman" w:eastAsia="Times New Roman" w:hAnsi="Times New Roman" w:cs="Times New Roman"/>
          <w:color w:val="000000"/>
          <w:sz w:val="14"/>
          <w:szCs w:val="14"/>
          <w:lang w:eastAsia="ru-RU"/>
        </w:rPr>
        <w:t>           </w:t>
      </w:r>
      <w:r w:rsidRPr="003C136C">
        <w:rPr>
          <w:rFonts w:ascii="Arial" w:eastAsia="Times New Roman" w:hAnsi="Arial" w:cs="Arial"/>
          <w:color w:val="000000"/>
          <w:sz w:val="18"/>
          <w:szCs w:val="18"/>
          <w:lang w:eastAsia="ru-RU"/>
        </w:rPr>
        <w:t>Информация о выявленных зонах повышенного коррупционного риска с информацией о принятых мерах по её устранению по форме, прилагаемой к настоящей Методике, направляется Уполномоченному по противодействию коррупции в Ульяновской области ежеквартально в установленные сроки в рамках представления сведений о работе элементов организационной структуры по противодействию коррупции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p w:rsidR="003C136C" w:rsidRPr="003C136C" w:rsidRDefault="003C136C" w:rsidP="003C136C">
      <w:pPr>
        <w:shd w:val="clear" w:color="auto" w:fill="FFFFFF"/>
        <w:spacing w:after="632" w:line="240" w:lineRule="auto"/>
        <w:jc w:val="center"/>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____________</w:t>
      </w:r>
    </w:p>
    <w:p w:rsidR="003C136C" w:rsidRPr="003C136C" w:rsidRDefault="003C136C" w:rsidP="003C136C">
      <w:pPr>
        <w:spacing w:after="0" w:line="240" w:lineRule="auto"/>
        <w:rPr>
          <w:rFonts w:ascii="Times New Roman" w:eastAsia="Times New Roman" w:hAnsi="Times New Roman" w:cs="Times New Roman"/>
          <w:sz w:val="24"/>
          <w:szCs w:val="24"/>
          <w:lang w:eastAsia="ru-RU"/>
        </w:rPr>
      </w:pPr>
      <w:r w:rsidRPr="003C136C">
        <w:rPr>
          <w:rFonts w:ascii="Times New Roman" w:eastAsia="Times New Roman" w:hAnsi="Times New Roman" w:cs="Times New Roman"/>
          <w:color w:val="000000"/>
          <w:sz w:val="28"/>
          <w:szCs w:val="28"/>
          <w:shd w:val="clear" w:color="auto" w:fill="FFFFFF"/>
          <w:lang w:eastAsia="ru-RU"/>
        </w:rPr>
        <w:br/>
      </w:r>
    </w:p>
    <w:p w:rsidR="003C136C" w:rsidRPr="003C136C" w:rsidRDefault="003C136C" w:rsidP="003C136C">
      <w:pPr>
        <w:shd w:val="clear" w:color="auto" w:fill="FFFFFF"/>
        <w:spacing w:after="1598" w:line="240" w:lineRule="auto"/>
        <w:ind w:left="11490" w:right="577" w:hanging="10"/>
        <w:jc w:val="center"/>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Приложение к Методи</w:t>
      </w:r>
      <w:bookmarkStart w:id="0" w:name="_GoBack"/>
      <w:bookmarkEnd w:id="0"/>
      <w:r w:rsidRPr="003C136C">
        <w:rPr>
          <w:rFonts w:ascii="Arial" w:eastAsia="Times New Roman" w:hAnsi="Arial" w:cs="Arial"/>
          <w:color w:val="000000"/>
          <w:sz w:val="18"/>
          <w:szCs w:val="18"/>
          <w:lang w:eastAsia="ru-RU"/>
        </w:rPr>
        <w:t>ке</w:t>
      </w:r>
    </w:p>
    <w:p w:rsidR="003C136C" w:rsidRPr="003C136C" w:rsidRDefault="003C136C" w:rsidP="003C136C">
      <w:pPr>
        <w:shd w:val="clear" w:color="auto" w:fill="FFFFFF"/>
        <w:spacing w:after="12" w:line="240" w:lineRule="auto"/>
        <w:ind w:left="17" w:hanging="10"/>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ФОРМА</w:t>
      </w:r>
    </w:p>
    <w:p w:rsidR="003C136C" w:rsidRPr="003C136C" w:rsidRDefault="003C136C" w:rsidP="003C136C">
      <w:pPr>
        <w:shd w:val="clear" w:color="auto" w:fill="FFFFFF"/>
        <w:spacing w:after="12" w:line="240" w:lineRule="auto"/>
        <w:ind w:left="17" w:right="7" w:hanging="10"/>
        <w:jc w:val="center"/>
        <w:rPr>
          <w:rFonts w:ascii="Arial" w:eastAsia="Times New Roman" w:hAnsi="Arial" w:cs="Arial"/>
          <w:color w:val="000000"/>
          <w:sz w:val="18"/>
          <w:szCs w:val="18"/>
          <w:lang w:eastAsia="ru-RU"/>
        </w:rPr>
      </w:pPr>
      <w:r w:rsidRPr="003C136C">
        <w:rPr>
          <w:rFonts w:ascii="Arial" w:eastAsia="Times New Roman" w:hAnsi="Arial" w:cs="Arial"/>
          <w:b/>
          <w:bCs/>
          <w:color w:val="000000"/>
          <w:sz w:val="18"/>
          <w:szCs w:val="18"/>
          <w:lang w:eastAsia="ru-RU"/>
        </w:rPr>
        <w:t xml:space="preserve">учёта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w:t>
      </w:r>
      <w:proofErr w:type="gramStart"/>
      <w:r w:rsidRPr="003C136C">
        <w:rPr>
          <w:rFonts w:ascii="Arial" w:eastAsia="Times New Roman" w:hAnsi="Arial" w:cs="Arial"/>
          <w:b/>
          <w:bCs/>
          <w:color w:val="000000"/>
          <w:sz w:val="18"/>
          <w:szCs w:val="18"/>
          <w:lang w:eastAsia="ru-RU"/>
        </w:rPr>
        <w:t>области  и</w:t>
      </w:r>
      <w:proofErr w:type="gramEnd"/>
      <w:r w:rsidRPr="003C136C">
        <w:rPr>
          <w:rFonts w:ascii="Arial" w:eastAsia="Times New Roman" w:hAnsi="Arial" w:cs="Arial"/>
          <w:b/>
          <w:bCs/>
          <w:color w:val="000000"/>
          <w:sz w:val="18"/>
          <w:szCs w:val="18"/>
          <w:lang w:eastAsia="ru-RU"/>
        </w:rPr>
        <w:t xml:space="preserve"> подведомственных </w:t>
      </w:r>
      <w:r w:rsidRPr="003C136C">
        <w:rPr>
          <w:rFonts w:ascii="Arial" w:eastAsia="Times New Roman" w:hAnsi="Arial" w:cs="Arial"/>
          <w:color w:val="000000"/>
          <w:sz w:val="18"/>
          <w:szCs w:val="18"/>
          <w:lang w:eastAsia="ru-RU"/>
        </w:rPr>
        <w:t> </w:t>
      </w:r>
      <w:r w:rsidRPr="003C136C">
        <w:rPr>
          <w:rFonts w:ascii="Arial" w:eastAsia="Times New Roman" w:hAnsi="Arial" w:cs="Arial"/>
          <w:b/>
          <w:bCs/>
          <w:color w:val="000000"/>
          <w:sz w:val="18"/>
          <w:szCs w:val="18"/>
          <w:lang w:eastAsia="ru-RU"/>
        </w:rPr>
        <w:t>учреждений и организаций</w:t>
      </w:r>
    </w:p>
    <w:tbl>
      <w:tblPr>
        <w:tblW w:w="14564" w:type="dxa"/>
        <w:tblInd w:w="-436" w:type="dxa"/>
        <w:shd w:val="clear" w:color="auto" w:fill="FFFFFF"/>
        <w:tblCellMar>
          <w:left w:w="0" w:type="dxa"/>
          <w:right w:w="0" w:type="dxa"/>
        </w:tblCellMar>
        <w:tblLook w:val="04A0" w:firstRow="1" w:lastRow="0" w:firstColumn="1" w:lastColumn="0" w:noHBand="0" w:noVBand="1"/>
      </w:tblPr>
      <w:tblGrid>
        <w:gridCol w:w="443"/>
        <w:gridCol w:w="1378"/>
        <w:gridCol w:w="1396"/>
        <w:gridCol w:w="2689"/>
        <w:gridCol w:w="1822"/>
        <w:gridCol w:w="3346"/>
        <w:gridCol w:w="1512"/>
        <w:gridCol w:w="1978"/>
      </w:tblGrid>
      <w:tr w:rsidR="003C136C" w:rsidRPr="003C136C" w:rsidTr="003C136C">
        <w:trPr>
          <w:trHeight w:val="2870"/>
        </w:trPr>
        <w:tc>
          <w:tcPr>
            <w:tcW w:w="446" w:type="dxa"/>
            <w:tcBorders>
              <w:top w:val="single" w:sz="8" w:space="0" w:color="000000"/>
              <w:left w:val="single" w:sz="8" w:space="0" w:color="000000"/>
              <w:bottom w:val="single" w:sz="8" w:space="0" w:color="000000"/>
              <w:right w:val="single" w:sz="8" w:space="0" w:color="000000"/>
            </w:tcBorders>
            <w:shd w:val="clear" w:color="auto" w:fill="auto"/>
            <w:tcMar>
              <w:top w:w="66" w:type="dxa"/>
              <w:left w:w="62" w:type="dxa"/>
              <w:bottom w:w="0" w:type="dxa"/>
              <w:right w:w="0" w:type="dxa"/>
            </w:tcMar>
            <w:hideMark/>
          </w:tcPr>
          <w:p w:rsidR="003C136C" w:rsidRPr="003C136C" w:rsidRDefault="003C136C" w:rsidP="003C136C">
            <w:pPr>
              <w:spacing w:after="0" w:line="193" w:lineRule="atLeast"/>
              <w:ind w:left="48"/>
              <w:rPr>
                <w:rFonts w:ascii="Arial" w:eastAsia="Times New Roman" w:hAnsi="Arial" w:cs="Arial"/>
                <w:color w:val="000000"/>
                <w:sz w:val="18"/>
                <w:szCs w:val="18"/>
                <w:lang w:eastAsia="ru-RU"/>
              </w:rPr>
            </w:pPr>
            <w:r w:rsidRPr="003C136C">
              <w:rPr>
                <w:rFonts w:ascii="Arial" w:eastAsia="Times New Roman" w:hAnsi="Arial" w:cs="Arial"/>
                <w:color w:val="000000"/>
                <w:sz w:val="24"/>
                <w:szCs w:val="24"/>
                <w:lang w:eastAsia="ru-RU"/>
              </w:rPr>
              <w:t>№</w:t>
            </w:r>
          </w:p>
          <w:p w:rsidR="003C136C" w:rsidRPr="003C136C" w:rsidRDefault="003C136C" w:rsidP="003C136C">
            <w:pPr>
              <w:spacing w:after="0" w:line="193" w:lineRule="atLeast"/>
              <w:ind w:left="2"/>
              <w:rPr>
                <w:rFonts w:ascii="Arial" w:eastAsia="Times New Roman" w:hAnsi="Arial" w:cs="Arial"/>
                <w:color w:val="000000"/>
                <w:sz w:val="18"/>
                <w:szCs w:val="18"/>
                <w:lang w:eastAsia="ru-RU"/>
              </w:rPr>
            </w:pPr>
            <w:r w:rsidRPr="003C136C">
              <w:rPr>
                <w:rFonts w:ascii="Arial" w:eastAsia="Times New Roman" w:hAnsi="Arial" w:cs="Arial"/>
                <w:color w:val="000000"/>
                <w:sz w:val="24"/>
                <w:szCs w:val="24"/>
                <w:lang w:eastAsia="ru-RU"/>
              </w:rPr>
              <w:t>п/п</w:t>
            </w:r>
          </w:p>
        </w:tc>
        <w:tc>
          <w:tcPr>
            <w:tcW w:w="1168"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ind w:firstLine="11"/>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Дата рассмотрения в</w:t>
            </w:r>
          </w:p>
          <w:p w:rsidR="003C136C" w:rsidRPr="003C136C" w:rsidRDefault="003C136C" w:rsidP="003C136C">
            <w:pPr>
              <w:spacing w:after="0" w:line="193" w:lineRule="atLeast"/>
              <w:ind w:left="56"/>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ИОГВ и ОМСУ</w:t>
            </w:r>
          </w:p>
        </w:tc>
        <w:tc>
          <w:tcPr>
            <w:tcW w:w="1400"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Краткое описание</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зоны повышенного</w:t>
            </w:r>
          </w:p>
          <w:p w:rsidR="003C136C" w:rsidRPr="003C136C" w:rsidRDefault="003C136C" w:rsidP="003C136C">
            <w:pPr>
              <w:spacing w:after="0" w:line="193" w:lineRule="atLeast"/>
              <w:ind w:left="116"/>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коррупци</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ind w:left="500" w:hanging="462"/>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онного</w:t>
            </w:r>
            <w:proofErr w:type="spellEnd"/>
            <w:r w:rsidRPr="003C136C">
              <w:rPr>
                <w:rFonts w:ascii="Arial" w:eastAsia="Times New Roman" w:hAnsi="Arial" w:cs="Arial"/>
                <w:color w:val="000000"/>
                <w:sz w:val="20"/>
                <w:szCs w:val="20"/>
                <w:lang w:eastAsia="ru-RU"/>
              </w:rPr>
              <w:t xml:space="preserve"> риска</w:t>
            </w:r>
          </w:p>
        </w:tc>
        <w:tc>
          <w:tcPr>
            <w:tcW w:w="2750"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Подробное описание механизма действия зоны</w:t>
            </w:r>
          </w:p>
          <w:p w:rsidR="003C136C" w:rsidRPr="003C136C" w:rsidRDefault="003C136C" w:rsidP="003C136C">
            <w:pPr>
              <w:spacing w:after="0" w:line="193" w:lineRule="atLeast"/>
              <w:ind w:left="60"/>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 xml:space="preserve">повышенного </w:t>
            </w:r>
            <w:proofErr w:type="spellStart"/>
            <w:r w:rsidRPr="003C136C">
              <w:rPr>
                <w:rFonts w:ascii="Arial" w:eastAsia="Times New Roman" w:hAnsi="Arial" w:cs="Arial"/>
                <w:color w:val="000000"/>
                <w:sz w:val="20"/>
                <w:szCs w:val="20"/>
                <w:lang w:eastAsia="ru-RU"/>
              </w:rPr>
              <w:t>коррупци</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онного</w:t>
            </w:r>
            <w:proofErr w:type="spellEnd"/>
            <w:r w:rsidRPr="003C136C">
              <w:rPr>
                <w:rFonts w:ascii="Arial" w:eastAsia="Times New Roman" w:hAnsi="Arial" w:cs="Arial"/>
                <w:color w:val="000000"/>
                <w:sz w:val="20"/>
                <w:szCs w:val="20"/>
                <w:lang w:eastAsia="ru-RU"/>
              </w:rPr>
              <w:t xml:space="preserve"> риска с указанием имеющихся примеров</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коррупционных проявлений, в том числе, воз-</w:t>
            </w:r>
          </w:p>
          <w:p w:rsidR="003C136C" w:rsidRPr="003C136C" w:rsidRDefault="003C136C" w:rsidP="003C136C">
            <w:pPr>
              <w:spacing w:after="0" w:line="193" w:lineRule="atLeast"/>
              <w:ind w:left="6"/>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можности</w:t>
            </w:r>
            <w:proofErr w:type="spellEnd"/>
            <w:r w:rsidRPr="003C136C">
              <w:rPr>
                <w:rFonts w:ascii="Arial" w:eastAsia="Times New Roman" w:hAnsi="Arial" w:cs="Arial"/>
                <w:color w:val="000000"/>
                <w:sz w:val="20"/>
                <w:szCs w:val="20"/>
                <w:lang w:eastAsia="ru-RU"/>
              </w:rPr>
              <w:t xml:space="preserve"> таких </w:t>
            </w:r>
            <w:proofErr w:type="spellStart"/>
            <w:r w:rsidRPr="003C136C">
              <w:rPr>
                <w:rFonts w:ascii="Arial" w:eastAsia="Times New Roman" w:hAnsi="Arial" w:cs="Arial"/>
                <w:color w:val="000000"/>
                <w:sz w:val="20"/>
                <w:szCs w:val="20"/>
                <w:lang w:eastAsia="ru-RU"/>
              </w:rPr>
              <w:t>проявле</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ind w:left="98"/>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ний</w:t>
            </w:r>
            <w:proofErr w:type="spellEnd"/>
            <w:r w:rsidRPr="003C136C">
              <w:rPr>
                <w:rFonts w:ascii="Arial" w:eastAsia="Times New Roman" w:hAnsi="Arial" w:cs="Arial"/>
                <w:color w:val="000000"/>
                <w:sz w:val="20"/>
                <w:szCs w:val="20"/>
                <w:lang w:eastAsia="ru-RU"/>
              </w:rPr>
              <w:t xml:space="preserve"> на практике </w:t>
            </w:r>
            <w:proofErr w:type="gramStart"/>
            <w:r w:rsidRPr="003C136C">
              <w:rPr>
                <w:rFonts w:ascii="Arial" w:eastAsia="Times New Roman" w:hAnsi="Arial" w:cs="Arial"/>
                <w:color w:val="000000"/>
                <w:sz w:val="20"/>
                <w:szCs w:val="20"/>
                <w:lang w:eastAsia="ru-RU"/>
              </w:rPr>
              <w:t>в буду</w:t>
            </w:r>
            <w:proofErr w:type="gram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ind w:right="58"/>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щем</w:t>
            </w:r>
            <w:proofErr w:type="spellEnd"/>
          </w:p>
        </w:tc>
        <w:tc>
          <w:tcPr>
            <w:tcW w:w="1836"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ind w:right="12"/>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Обязательные условия, при которых возможны проявления коррупции в</w:t>
            </w:r>
          </w:p>
          <w:p w:rsidR="003C136C" w:rsidRPr="003C136C" w:rsidRDefault="003C136C" w:rsidP="003C136C">
            <w:pPr>
              <w:spacing w:after="0" w:line="193" w:lineRule="atLeast"/>
              <w:ind w:left="92"/>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зоне повышен-</w:t>
            </w:r>
          </w:p>
          <w:p w:rsidR="003C136C" w:rsidRPr="003C136C" w:rsidRDefault="003C136C" w:rsidP="003C136C">
            <w:pPr>
              <w:spacing w:after="0" w:line="193" w:lineRule="atLeast"/>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ного</w:t>
            </w:r>
            <w:proofErr w:type="spellEnd"/>
            <w:r w:rsidRPr="003C136C">
              <w:rPr>
                <w:rFonts w:ascii="Arial" w:eastAsia="Times New Roman" w:hAnsi="Arial" w:cs="Arial"/>
                <w:color w:val="000000"/>
                <w:sz w:val="20"/>
                <w:szCs w:val="20"/>
                <w:lang w:eastAsia="ru-RU"/>
              </w:rPr>
              <w:t xml:space="preserve"> коррупционного риска</w:t>
            </w:r>
          </w:p>
        </w:tc>
        <w:tc>
          <w:tcPr>
            <w:tcW w:w="3438"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Наименование должностей в ИОГВ, ОМСУ и иных органах и организация, подверженных</w:t>
            </w:r>
          </w:p>
          <w:p w:rsidR="003C136C" w:rsidRPr="003C136C" w:rsidRDefault="003C136C" w:rsidP="003C136C">
            <w:pPr>
              <w:spacing w:after="0" w:line="193" w:lineRule="atLeast"/>
              <w:ind w:left="82"/>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риску проявления коррупции в</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ситуации, отнесённой к зоне повышенного коррупционного</w:t>
            </w:r>
          </w:p>
          <w:p w:rsidR="003C136C" w:rsidRPr="003C136C" w:rsidRDefault="003C136C" w:rsidP="003C136C">
            <w:pPr>
              <w:spacing w:after="0" w:line="193" w:lineRule="atLeast"/>
              <w:ind w:right="58"/>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риска</w:t>
            </w:r>
          </w:p>
        </w:tc>
        <w:tc>
          <w:tcPr>
            <w:tcW w:w="1526"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Принятые меры по</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 xml:space="preserve">устранению зоны </w:t>
            </w:r>
            <w:proofErr w:type="spellStart"/>
            <w:r w:rsidRPr="003C136C">
              <w:rPr>
                <w:rFonts w:ascii="Arial" w:eastAsia="Times New Roman" w:hAnsi="Arial" w:cs="Arial"/>
                <w:color w:val="000000"/>
                <w:sz w:val="20"/>
                <w:szCs w:val="20"/>
                <w:lang w:eastAsia="ru-RU"/>
              </w:rPr>
              <w:t>повы</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ind w:left="20"/>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шенного</w:t>
            </w:r>
            <w:proofErr w:type="spellEnd"/>
            <w:r w:rsidRPr="003C136C">
              <w:rPr>
                <w:rFonts w:ascii="Arial" w:eastAsia="Times New Roman" w:hAnsi="Arial" w:cs="Arial"/>
                <w:color w:val="000000"/>
                <w:sz w:val="20"/>
                <w:szCs w:val="20"/>
                <w:lang w:eastAsia="ru-RU"/>
              </w:rPr>
              <w:t xml:space="preserve"> </w:t>
            </w:r>
            <w:proofErr w:type="spellStart"/>
            <w:r w:rsidRPr="003C136C">
              <w:rPr>
                <w:rFonts w:ascii="Arial" w:eastAsia="Times New Roman" w:hAnsi="Arial" w:cs="Arial"/>
                <w:color w:val="000000"/>
                <w:sz w:val="20"/>
                <w:szCs w:val="20"/>
                <w:lang w:eastAsia="ru-RU"/>
              </w:rPr>
              <w:t>кор</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рупционного</w:t>
            </w:r>
            <w:proofErr w:type="spellEnd"/>
            <w:r w:rsidRPr="003C136C">
              <w:rPr>
                <w:rFonts w:ascii="Arial" w:eastAsia="Times New Roman" w:hAnsi="Arial" w:cs="Arial"/>
                <w:color w:val="000000"/>
                <w:sz w:val="20"/>
                <w:szCs w:val="20"/>
                <w:lang w:eastAsia="ru-RU"/>
              </w:rPr>
              <w:t xml:space="preserve"> риска</w:t>
            </w:r>
          </w:p>
        </w:tc>
        <w:tc>
          <w:tcPr>
            <w:tcW w:w="2000" w:type="dxa"/>
            <w:tcBorders>
              <w:top w:val="single" w:sz="8" w:space="0" w:color="175B98"/>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 xml:space="preserve">Меры по устранению зоны </w:t>
            </w:r>
            <w:proofErr w:type="spellStart"/>
            <w:r w:rsidRPr="003C136C">
              <w:rPr>
                <w:rFonts w:ascii="Arial" w:eastAsia="Times New Roman" w:hAnsi="Arial" w:cs="Arial"/>
                <w:color w:val="000000"/>
                <w:sz w:val="20"/>
                <w:szCs w:val="20"/>
                <w:lang w:eastAsia="ru-RU"/>
              </w:rPr>
              <w:t>повы</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шенного</w:t>
            </w:r>
            <w:proofErr w:type="spellEnd"/>
            <w:r w:rsidRPr="003C136C">
              <w:rPr>
                <w:rFonts w:ascii="Arial" w:eastAsia="Times New Roman" w:hAnsi="Arial" w:cs="Arial"/>
                <w:color w:val="000000"/>
                <w:sz w:val="20"/>
                <w:szCs w:val="20"/>
                <w:lang w:eastAsia="ru-RU"/>
              </w:rPr>
              <w:t xml:space="preserve"> коррупционного риска,</w:t>
            </w:r>
          </w:p>
          <w:p w:rsidR="003C136C" w:rsidRPr="003C136C" w:rsidRDefault="003C136C" w:rsidP="003C136C">
            <w:pPr>
              <w:spacing w:after="0" w:line="178" w:lineRule="atLeast"/>
              <w:jc w:val="center"/>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принятие которых находится в</w:t>
            </w:r>
          </w:p>
          <w:p w:rsidR="003C136C" w:rsidRPr="003C136C" w:rsidRDefault="003C136C" w:rsidP="003C136C">
            <w:pPr>
              <w:spacing w:after="0" w:line="193" w:lineRule="atLeast"/>
              <w:ind w:left="24"/>
              <w:rPr>
                <w:rFonts w:ascii="Arial" w:eastAsia="Times New Roman" w:hAnsi="Arial" w:cs="Arial"/>
                <w:color w:val="000000"/>
                <w:sz w:val="18"/>
                <w:szCs w:val="18"/>
                <w:lang w:eastAsia="ru-RU"/>
              </w:rPr>
            </w:pPr>
            <w:r w:rsidRPr="003C136C">
              <w:rPr>
                <w:rFonts w:ascii="Arial" w:eastAsia="Times New Roman" w:hAnsi="Arial" w:cs="Arial"/>
                <w:color w:val="000000"/>
                <w:sz w:val="20"/>
                <w:szCs w:val="20"/>
                <w:lang w:eastAsia="ru-RU"/>
              </w:rPr>
              <w:t xml:space="preserve">компетенции </w:t>
            </w:r>
            <w:proofErr w:type="spellStart"/>
            <w:r w:rsidRPr="003C136C">
              <w:rPr>
                <w:rFonts w:ascii="Arial" w:eastAsia="Times New Roman" w:hAnsi="Arial" w:cs="Arial"/>
                <w:color w:val="000000"/>
                <w:sz w:val="20"/>
                <w:szCs w:val="20"/>
                <w:lang w:eastAsia="ru-RU"/>
              </w:rPr>
              <w:t>дру</w:t>
            </w:r>
            <w:proofErr w:type="spellEnd"/>
            <w:r w:rsidRPr="003C136C">
              <w:rPr>
                <w:rFonts w:ascii="Arial" w:eastAsia="Times New Roman" w:hAnsi="Arial" w:cs="Arial"/>
                <w:color w:val="000000"/>
                <w:sz w:val="20"/>
                <w:szCs w:val="20"/>
                <w:lang w:eastAsia="ru-RU"/>
              </w:rPr>
              <w:t>-</w:t>
            </w:r>
          </w:p>
          <w:p w:rsidR="003C136C" w:rsidRPr="003C136C" w:rsidRDefault="003C136C" w:rsidP="003C136C">
            <w:pPr>
              <w:spacing w:after="0" w:line="193" w:lineRule="atLeast"/>
              <w:jc w:val="center"/>
              <w:rPr>
                <w:rFonts w:ascii="Arial" w:eastAsia="Times New Roman" w:hAnsi="Arial" w:cs="Arial"/>
                <w:color w:val="000000"/>
                <w:sz w:val="18"/>
                <w:szCs w:val="18"/>
                <w:lang w:eastAsia="ru-RU"/>
              </w:rPr>
            </w:pPr>
            <w:proofErr w:type="spellStart"/>
            <w:r w:rsidRPr="003C136C">
              <w:rPr>
                <w:rFonts w:ascii="Arial" w:eastAsia="Times New Roman" w:hAnsi="Arial" w:cs="Arial"/>
                <w:color w:val="000000"/>
                <w:sz w:val="20"/>
                <w:szCs w:val="20"/>
                <w:lang w:eastAsia="ru-RU"/>
              </w:rPr>
              <w:t>гих</w:t>
            </w:r>
            <w:proofErr w:type="spellEnd"/>
            <w:r w:rsidRPr="003C136C">
              <w:rPr>
                <w:rFonts w:ascii="Arial" w:eastAsia="Times New Roman" w:hAnsi="Arial" w:cs="Arial"/>
                <w:color w:val="000000"/>
                <w:sz w:val="20"/>
                <w:szCs w:val="20"/>
                <w:lang w:eastAsia="ru-RU"/>
              </w:rPr>
              <w:t xml:space="preserve"> органов и организаций</w:t>
            </w:r>
          </w:p>
        </w:tc>
      </w:tr>
      <w:tr w:rsidR="003C136C" w:rsidRPr="003C136C" w:rsidTr="003C136C">
        <w:trPr>
          <w:trHeight w:val="388"/>
        </w:trPr>
        <w:tc>
          <w:tcPr>
            <w:tcW w:w="446" w:type="dxa"/>
            <w:tcBorders>
              <w:top w:val="nil"/>
              <w:left w:val="single" w:sz="8" w:space="0" w:color="175B98"/>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lastRenderedPageBreak/>
              <w:t> </w:t>
            </w:r>
          </w:p>
        </w:tc>
        <w:tc>
          <w:tcPr>
            <w:tcW w:w="1168"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1400"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2750"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1836"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3438"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1526"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c>
          <w:tcPr>
            <w:tcW w:w="2000" w:type="dxa"/>
            <w:tcBorders>
              <w:top w:val="nil"/>
              <w:left w:val="nil"/>
              <w:bottom w:val="single" w:sz="8" w:space="0" w:color="175B98"/>
              <w:right w:val="single" w:sz="8" w:space="0" w:color="175B98"/>
            </w:tcBorders>
            <w:shd w:val="clear" w:color="auto" w:fill="auto"/>
            <w:tcMar>
              <w:top w:w="66" w:type="dxa"/>
              <w:left w:w="62" w:type="dxa"/>
              <w:bottom w:w="0" w:type="dxa"/>
              <w:right w:w="0" w:type="dxa"/>
            </w:tcMar>
            <w:hideMark/>
          </w:tcPr>
          <w:p w:rsidR="003C136C" w:rsidRPr="003C136C" w:rsidRDefault="003C136C" w:rsidP="003C136C">
            <w:pPr>
              <w:spacing w:line="193" w:lineRule="atLeast"/>
              <w:rPr>
                <w:rFonts w:ascii="Arial" w:eastAsia="Times New Roman" w:hAnsi="Arial" w:cs="Arial"/>
                <w:color w:val="000000"/>
                <w:sz w:val="18"/>
                <w:szCs w:val="18"/>
                <w:lang w:eastAsia="ru-RU"/>
              </w:rPr>
            </w:pPr>
            <w:r w:rsidRPr="003C136C">
              <w:rPr>
                <w:rFonts w:ascii="Arial" w:eastAsia="Times New Roman" w:hAnsi="Arial" w:cs="Arial"/>
                <w:color w:val="000000"/>
                <w:sz w:val="18"/>
                <w:szCs w:val="18"/>
                <w:lang w:eastAsia="ru-RU"/>
              </w:rPr>
              <w:t> </w:t>
            </w:r>
          </w:p>
        </w:tc>
      </w:tr>
    </w:tbl>
    <w:p w:rsidR="009220F2" w:rsidRDefault="009220F2"/>
    <w:sectPr w:rsidR="009220F2" w:rsidSect="003C13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5"/>
    <w:rsid w:val="002F18D5"/>
    <w:rsid w:val="003C136C"/>
    <w:rsid w:val="0092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0844-E326-4815-B3DD-8DF0F00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1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5296">
      <w:bodyDiv w:val="1"/>
      <w:marLeft w:val="0"/>
      <w:marRight w:val="0"/>
      <w:marTop w:val="0"/>
      <w:marBottom w:val="0"/>
      <w:divBdr>
        <w:top w:val="none" w:sz="0" w:space="0" w:color="auto"/>
        <w:left w:val="none" w:sz="0" w:space="0" w:color="auto"/>
        <w:bottom w:val="none" w:sz="0" w:space="0" w:color="auto"/>
        <w:right w:val="none" w:sz="0" w:space="0" w:color="auto"/>
      </w:divBdr>
      <w:divsChild>
        <w:div w:id="10345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GrimAr4i</dc:creator>
  <cp:keywords/>
  <dc:description/>
  <cp:lastModifiedBy>GrimAr4i</cp:lastModifiedBy>
  <cp:revision>2</cp:revision>
  <dcterms:created xsi:type="dcterms:W3CDTF">2020-11-24T14:42:00Z</dcterms:created>
  <dcterms:modified xsi:type="dcterms:W3CDTF">2020-11-24T14:43:00Z</dcterms:modified>
</cp:coreProperties>
</file>